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007A4B6B" w:rsidR="001E41F3" w:rsidRDefault="00872CC6">
      <w:pPr>
        <w:pStyle w:val="CRCoverPage"/>
        <w:tabs>
          <w:tab w:val="right" w:pos="9639"/>
        </w:tabs>
        <w:spacing w:after="0"/>
        <w:rPr>
          <w:b/>
          <w:i/>
          <w:noProof/>
          <w:sz w:val="28"/>
        </w:rPr>
      </w:pPr>
      <w:r w:rsidRPr="00872CC6">
        <w:rPr>
          <w:b/>
          <w:noProof/>
          <w:sz w:val="24"/>
        </w:rPr>
        <w:t>3GPP TSG-RAN5 Meeting #108</w:t>
      </w:r>
      <w:r w:rsidR="001E41F3">
        <w:rPr>
          <w:b/>
          <w:i/>
          <w:noProof/>
          <w:sz w:val="28"/>
        </w:rPr>
        <w:tab/>
      </w:r>
      <w:r w:rsidR="00FD5E9A" w:rsidRPr="00FD5E9A">
        <w:rPr>
          <w:b/>
          <w:sz w:val="24"/>
        </w:rPr>
        <w:t>R5-254044</w:t>
      </w:r>
    </w:p>
    <w:p w14:paraId="3AFA878D" w14:textId="77777777" w:rsidR="004365F8" w:rsidRDefault="00872CC6" w:rsidP="005E2C44">
      <w:pPr>
        <w:pStyle w:val="CRCoverPage"/>
        <w:outlineLvl w:val="0"/>
        <w:rPr>
          <w:b/>
          <w:noProof/>
          <w:sz w:val="24"/>
        </w:rPr>
      </w:pPr>
      <w:r w:rsidRPr="00872CC6">
        <w:rPr>
          <w:b/>
          <w:noProof/>
          <w:sz w:val="24"/>
        </w:rPr>
        <w:t>Bengaluru, India</w:t>
      </w:r>
      <w:r w:rsidR="001E41F3">
        <w:rPr>
          <w:b/>
          <w:noProof/>
          <w:sz w:val="24"/>
        </w:rPr>
        <w:t xml:space="preserve">, </w:t>
      </w:r>
      <w:r w:rsidRPr="00872CC6">
        <w:rPr>
          <w:b/>
          <w:noProof/>
          <w:sz w:val="24"/>
        </w:rPr>
        <w:t>25th - 29th August, 2025</w:t>
      </w:r>
    </w:p>
    <w:p w14:paraId="7EDD476C" w14:textId="77777777" w:rsidR="004365F8" w:rsidRDefault="004365F8" w:rsidP="005E2C44">
      <w:pPr>
        <w:pStyle w:val="CRCoverPage"/>
        <w:outlineLvl w:val="0"/>
        <w:rPr>
          <w:b/>
          <w:noProof/>
          <w:sz w:val="24"/>
        </w:rPr>
      </w:pPr>
    </w:p>
    <w:p w14:paraId="36C73A01" w14:textId="246166E6" w:rsidR="004365F8" w:rsidRDefault="004365F8" w:rsidP="004365F8">
      <w:pPr>
        <w:rPr>
          <w:rFonts w:ascii="Arial" w:hAnsi="Arial" w:cs="Arial"/>
          <w:noProof/>
          <w:sz w:val="24"/>
        </w:rPr>
      </w:pPr>
      <w:r>
        <w:rPr>
          <w:rFonts w:ascii="Arial" w:hAnsi="Arial" w:cs="Arial"/>
          <w:b/>
          <w:noProof/>
          <w:sz w:val="24"/>
        </w:rPr>
        <w:t>Agenda item:</w:t>
      </w:r>
      <w:r>
        <w:rPr>
          <w:rFonts w:ascii="Arial" w:hAnsi="Arial" w:cs="Arial"/>
          <w:b/>
          <w:noProof/>
          <w:sz w:val="24"/>
        </w:rPr>
        <w:tab/>
      </w:r>
      <w:r>
        <w:rPr>
          <w:rFonts w:ascii="Arial" w:hAnsi="Arial" w:cs="Arial"/>
          <w:b/>
          <w:noProof/>
          <w:sz w:val="24"/>
        </w:rPr>
        <w:tab/>
      </w:r>
      <w:r w:rsidR="00126980">
        <w:rPr>
          <w:rFonts w:ascii="Arial" w:hAnsi="Arial" w:cs="Arial"/>
          <w:noProof/>
          <w:sz w:val="24"/>
        </w:rPr>
        <w:t>5.4.20</w:t>
      </w:r>
    </w:p>
    <w:p w14:paraId="43A64FAB" w14:textId="77777777" w:rsidR="004365F8" w:rsidRPr="000C16D5" w:rsidRDefault="004365F8" w:rsidP="004365F8">
      <w:pPr>
        <w:rPr>
          <w:rFonts w:ascii="Arial" w:hAnsi="Arial" w:cs="Arial"/>
          <w:noProof/>
          <w:sz w:val="24"/>
        </w:rPr>
      </w:pPr>
      <w:r>
        <w:rPr>
          <w:rFonts w:ascii="Arial" w:hAnsi="Arial" w:cs="Arial"/>
          <w:b/>
          <w:noProof/>
          <w:sz w:val="24"/>
        </w:rPr>
        <w:t>Source:</w:t>
      </w:r>
      <w:r w:rsidRPr="000C16D5">
        <w:rPr>
          <w:rFonts w:ascii="Arial" w:hAnsi="Arial" w:cs="Arial"/>
          <w:noProof/>
          <w:sz w:val="24"/>
        </w:rPr>
        <w:tab/>
      </w:r>
      <w:r w:rsidRPr="000C16D5">
        <w:rPr>
          <w:rFonts w:ascii="Arial" w:hAnsi="Arial" w:cs="Arial"/>
          <w:noProof/>
          <w:sz w:val="24"/>
        </w:rPr>
        <w:tab/>
      </w:r>
      <w:r w:rsidRPr="000C16D5">
        <w:rPr>
          <w:rFonts w:ascii="Arial" w:hAnsi="Arial" w:cs="Arial"/>
          <w:noProof/>
          <w:sz w:val="24"/>
        </w:rPr>
        <w:tab/>
      </w:r>
      <w:r w:rsidRPr="000C16D5">
        <w:rPr>
          <w:rFonts w:ascii="Arial" w:hAnsi="Arial" w:cs="Arial"/>
          <w:noProof/>
          <w:sz w:val="24"/>
        </w:rPr>
        <w:tab/>
        <w:t>Keysight Technologies UK Ltd</w:t>
      </w:r>
    </w:p>
    <w:p w14:paraId="43B4A983" w14:textId="65339802" w:rsidR="004365F8" w:rsidRDefault="004365F8" w:rsidP="004365F8">
      <w:pPr>
        <w:rPr>
          <w:rFonts w:ascii="Arial" w:hAnsi="Arial" w:cs="Arial"/>
          <w:noProof/>
          <w:sz w:val="24"/>
        </w:rPr>
      </w:pPr>
      <w:r>
        <w:rPr>
          <w:rFonts w:ascii="Arial" w:hAnsi="Arial" w:cs="Arial"/>
          <w:b/>
          <w:noProof/>
          <w:sz w:val="24"/>
        </w:rPr>
        <w:t>Title:</w:t>
      </w:r>
      <w:r>
        <w:rPr>
          <w:rFonts w:ascii="Arial" w:hAnsi="Arial" w:cs="Arial"/>
          <w:b/>
          <w:noProof/>
          <w:sz w:val="24"/>
        </w:rPr>
        <w:tab/>
      </w:r>
      <w:r>
        <w:rPr>
          <w:rFonts w:ascii="Arial" w:hAnsi="Arial" w:cs="Arial"/>
          <w:b/>
          <w:noProof/>
          <w:sz w:val="24"/>
        </w:rPr>
        <w:tab/>
      </w:r>
      <w:r>
        <w:rPr>
          <w:rFonts w:ascii="Arial" w:hAnsi="Arial" w:cs="Arial"/>
          <w:b/>
          <w:noProof/>
          <w:sz w:val="24"/>
        </w:rPr>
        <w:tab/>
      </w:r>
      <w:r>
        <w:rPr>
          <w:rFonts w:ascii="Arial" w:hAnsi="Arial" w:cs="Arial"/>
          <w:b/>
          <w:noProof/>
          <w:sz w:val="24"/>
        </w:rPr>
        <w:tab/>
      </w:r>
      <w:r>
        <w:rPr>
          <w:rFonts w:ascii="Arial" w:hAnsi="Arial" w:cs="Arial"/>
          <w:b/>
          <w:noProof/>
          <w:sz w:val="24"/>
        </w:rPr>
        <w:tab/>
      </w:r>
      <w:r w:rsidR="009C2C6D">
        <w:rPr>
          <w:rFonts w:ascii="Arial" w:hAnsi="Arial" w:cs="Arial"/>
          <w:sz w:val="24"/>
          <w:szCs w:val="24"/>
        </w:rPr>
        <w:t xml:space="preserve">On Re-Positioning Concept for </w:t>
      </w:r>
      <w:r w:rsidR="001B5F3F">
        <w:rPr>
          <w:rFonts w:ascii="Arial" w:hAnsi="Arial" w:cs="Arial"/>
          <w:sz w:val="24"/>
          <w:szCs w:val="24"/>
        </w:rPr>
        <w:t xml:space="preserve">3 AoA </w:t>
      </w:r>
      <w:r w:rsidR="009C2C6D">
        <w:rPr>
          <w:rFonts w:ascii="Arial" w:hAnsi="Arial" w:cs="Arial"/>
          <w:sz w:val="24"/>
          <w:szCs w:val="24"/>
        </w:rPr>
        <w:t>FR2 RRM TCs</w:t>
      </w:r>
    </w:p>
    <w:p w14:paraId="06206A24" w14:textId="77777777" w:rsidR="004365F8" w:rsidRDefault="004365F8" w:rsidP="004365F8">
      <w:pPr>
        <w:rPr>
          <w:rFonts w:ascii="Arial" w:hAnsi="Arial" w:cs="Arial"/>
          <w:noProof/>
          <w:sz w:val="24"/>
        </w:rPr>
      </w:pPr>
      <w:r>
        <w:rPr>
          <w:rFonts w:ascii="Arial" w:hAnsi="Arial" w:cs="Arial"/>
          <w:b/>
          <w:noProof/>
          <w:sz w:val="24"/>
        </w:rPr>
        <w:t>Document for:</w:t>
      </w:r>
      <w:r>
        <w:rPr>
          <w:rFonts w:ascii="Arial" w:hAnsi="Arial" w:cs="Arial"/>
          <w:b/>
          <w:noProof/>
          <w:sz w:val="24"/>
        </w:rPr>
        <w:tab/>
      </w:r>
      <w:r>
        <w:rPr>
          <w:rFonts w:ascii="Arial" w:hAnsi="Arial" w:cs="Arial"/>
          <w:b/>
          <w:noProof/>
          <w:sz w:val="24"/>
        </w:rPr>
        <w:tab/>
      </w:r>
      <w:r>
        <w:rPr>
          <w:rFonts w:ascii="Arial" w:hAnsi="Arial" w:cs="Arial"/>
          <w:noProof/>
          <w:sz w:val="24"/>
        </w:rPr>
        <w:t>Discussion and Endorsement</w:t>
      </w:r>
    </w:p>
    <w:p w14:paraId="1BC0689D" w14:textId="77777777" w:rsidR="004365F8" w:rsidRDefault="004365F8" w:rsidP="004365F8">
      <w:pPr>
        <w:pStyle w:val="Heading1"/>
        <w:rPr>
          <w:noProof/>
        </w:rPr>
      </w:pPr>
      <w:r>
        <w:rPr>
          <w:noProof/>
        </w:rPr>
        <w:t>Introduction</w:t>
      </w:r>
    </w:p>
    <w:p w14:paraId="387C76D6" w14:textId="075B7619" w:rsidR="004365F8" w:rsidRDefault="00185A11" w:rsidP="004365F8">
      <w:pPr>
        <w:rPr>
          <w:noProof/>
        </w:rPr>
      </w:pPr>
      <w:r>
        <w:t xml:space="preserve">The re-positioning concept has been adopted for FR2 UE RF TCs, </w:t>
      </w:r>
      <w:r w:rsidR="002F4690">
        <w:t>and</w:t>
      </w:r>
      <w:r>
        <w:t xml:space="preserve"> FR2 RRM TCs</w:t>
      </w:r>
      <w:r w:rsidR="002F4690">
        <w:t xml:space="preserve"> up to 2 AoAs. This contribution is exploring the </w:t>
      </w:r>
      <w:r w:rsidR="009D7FC5">
        <w:t xml:space="preserve">applicability for 3 AoA RRM TCs. </w:t>
      </w:r>
    </w:p>
    <w:p w14:paraId="5F078147" w14:textId="77777777" w:rsidR="004365F8" w:rsidRDefault="004365F8" w:rsidP="004365F8">
      <w:pPr>
        <w:pStyle w:val="Heading1"/>
        <w:rPr>
          <w:noProof/>
        </w:rPr>
      </w:pPr>
      <w:r>
        <w:rPr>
          <w:noProof/>
        </w:rPr>
        <w:t>Discussion</w:t>
      </w:r>
    </w:p>
    <w:p w14:paraId="1EC4FC97" w14:textId="12EDD369" w:rsidR="00320665" w:rsidRDefault="00320665" w:rsidP="00320665">
      <w:r>
        <w:t>The re-positioning concept, Clause N.3 of</w:t>
      </w:r>
      <w:r w:rsidR="001C4F09">
        <w:t xml:space="preserve"> </w:t>
      </w:r>
      <w:r w:rsidR="001C4F09">
        <w:fldChar w:fldCharType="begin"/>
      </w:r>
      <w:r w:rsidR="001C4F09">
        <w:instrText xml:space="preserve"> REF _Ref200539201 \w </w:instrText>
      </w:r>
      <w:r w:rsidR="001C4F09">
        <w:fldChar w:fldCharType="separate"/>
      </w:r>
      <w:r w:rsidR="00CD20F2">
        <w:t>[1]</w:t>
      </w:r>
      <w:r w:rsidR="001C4F09">
        <w:fldChar w:fldCharType="end"/>
      </w:r>
      <w:r>
        <w:t xml:space="preserve">, has been firmly adopted for FR2 UE RF test cases, especially in Annex K of </w:t>
      </w:r>
      <w:r w:rsidR="001C4F09">
        <w:fldChar w:fldCharType="begin"/>
      </w:r>
      <w:r w:rsidR="001C4F09">
        <w:instrText xml:space="preserve"> REF _Ref200539201 \w </w:instrText>
      </w:r>
      <w:r w:rsidR="001C4F09">
        <w:fldChar w:fldCharType="separate"/>
      </w:r>
      <w:r w:rsidR="00CD20F2">
        <w:t>[1]</w:t>
      </w:r>
      <w:r w:rsidR="001C4F09">
        <w:fldChar w:fldCharType="end"/>
      </w:r>
      <w:r w:rsidR="00562D4B">
        <w:t xml:space="preserve">. </w:t>
      </w:r>
      <w:r w:rsidR="00E0737D">
        <w:t xml:space="preserve">Last year, the re-positioning concept was discussed for 1 AoA and 2 AoA </w:t>
      </w:r>
      <w:r w:rsidR="001C2525">
        <w:t xml:space="preserve">RRM TCs </w:t>
      </w:r>
      <w:r w:rsidR="001C2525">
        <w:fldChar w:fldCharType="begin"/>
      </w:r>
      <w:r w:rsidR="001C2525">
        <w:instrText xml:space="preserve"> REF _Ref200539013 \w </w:instrText>
      </w:r>
      <w:r w:rsidR="001C2525">
        <w:fldChar w:fldCharType="separate"/>
      </w:r>
      <w:r w:rsidR="00CD20F2">
        <w:t>[2]</w:t>
      </w:r>
      <w:r w:rsidR="001C2525">
        <w:fldChar w:fldCharType="end"/>
      </w:r>
      <w:r w:rsidR="001C2525">
        <w:t xml:space="preserve"> and consequently adopted </w:t>
      </w:r>
      <w:r w:rsidR="001C2525">
        <w:fldChar w:fldCharType="begin"/>
      </w:r>
      <w:r w:rsidR="001C2525">
        <w:instrText xml:space="preserve"> REF _Ref200539037 \w </w:instrText>
      </w:r>
      <w:r w:rsidR="001C2525">
        <w:fldChar w:fldCharType="separate"/>
      </w:r>
      <w:r w:rsidR="00CD20F2">
        <w:t>[3]</w:t>
      </w:r>
      <w:r w:rsidR="001C2525">
        <w:fldChar w:fldCharType="end"/>
      </w:r>
      <w:r w:rsidR="001C2525">
        <w:fldChar w:fldCharType="begin"/>
      </w:r>
      <w:r w:rsidR="001C2525">
        <w:instrText xml:space="preserve"> REF _Ref200539056 \w </w:instrText>
      </w:r>
      <w:r w:rsidR="001C2525">
        <w:fldChar w:fldCharType="separate"/>
      </w:r>
      <w:r w:rsidR="00CD20F2">
        <w:t>[4]</w:t>
      </w:r>
      <w:r w:rsidR="001C2525">
        <w:fldChar w:fldCharType="end"/>
      </w:r>
      <w:r w:rsidR="002F60A0">
        <w:t xml:space="preserve">. </w:t>
      </w:r>
    </w:p>
    <w:p w14:paraId="14B43592" w14:textId="30D51235" w:rsidR="00BA1EDF" w:rsidRDefault="00BA1EDF" w:rsidP="00BA1EDF">
      <w:r>
        <w:t xml:space="preserve">The reference measurement uncertainty (MU) </w:t>
      </w:r>
      <w:r w:rsidR="00D57E11">
        <w:fldChar w:fldCharType="begin"/>
      </w:r>
      <w:r w:rsidR="00D57E11">
        <w:instrText xml:space="preserve"> REF _Ref200539245 \w </w:instrText>
      </w:r>
      <w:r w:rsidR="00D57E11">
        <w:fldChar w:fldCharType="separate"/>
      </w:r>
      <w:r w:rsidR="00CD20F2">
        <w:t>[5]</w:t>
      </w:r>
      <w:r w:rsidR="00D57E11">
        <w:fldChar w:fldCharType="end"/>
      </w:r>
      <w:r w:rsidR="00D57E11">
        <w:t xml:space="preserve"> </w:t>
      </w:r>
      <w:r>
        <w:t xml:space="preserve">and corresponding Maximum Test System Uncertainty (MTSU) </w:t>
      </w:r>
      <w:r w:rsidR="001C4F09">
        <w:fldChar w:fldCharType="begin"/>
      </w:r>
      <w:r w:rsidR="001C4F09">
        <w:instrText xml:space="preserve"> REF _Ref200539201 \w </w:instrText>
      </w:r>
      <w:r w:rsidR="001C4F09">
        <w:fldChar w:fldCharType="separate"/>
      </w:r>
      <w:r w:rsidR="00CD20F2">
        <w:t>[1]</w:t>
      </w:r>
      <w:r w:rsidR="001C4F09">
        <w:fldChar w:fldCharType="end"/>
      </w:r>
      <w:r>
        <w:t xml:space="preserve"> for UE RF test cases was defined based on the re-positioning concept adopted, i.e., the Quality of Quiet Zone (QoQZ) MU elements in the measurement and calibration stage are based on an abbreviated test procedure that yields a lower MU due to the lack of positioner blocking, e.g., Clause </w:t>
      </w:r>
      <w:r w:rsidRPr="00F42DC3">
        <w:t>O.2.6.2</w:t>
      </w:r>
      <w:r w:rsidR="009603B0">
        <w:t xml:space="preserve"> of</w:t>
      </w:r>
      <w:r>
        <w:t xml:space="preserve"> </w:t>
      </w:r>
      <w:r w:rsidR="00D57E11">
        <w:fldChar w:fldCharType="begin"/>
      </w:r>
      <w:r w:rsidR="00D57E11">
        <w:instrText xml:space="preserve"> REF _Ref200539201 \w </w:instrText>
      </w:r>
      <w:r w:rsidR="00D57E11">
        <w:fldChar w:fldCharType="separate"/>
      </w:r>
      <w:r w:rsidR="00CD20F2">
        <w:t>[1]</w:t>
      </w:r>
      <w:r w:rsidR="00D57E11">
        <w:fldChar w:fldCharType="end"/>
      </w:r>
      <w:r>
        <w:t>.</w:t>
      </w:r>
    </w:p>
    <w:tbl>
      <w:tblPr>
        <w:tblStyle w:val="TableGrid"/>
        <w:tblW w:w="0" w:type="auto"/>
        <w:tblLook w:val="04A0" w:firstRow="1" w:lastRow="0" w:firstColumn="1" w:lastColumn="0" w:noHBand="0" w:noVBand="1"/>
      </w:tblPr>
      <w:tblGrid>
        <w:gridCol w:w="9629"/>
      </w:tblGrid>
      <w:tr w:rsidR="00BA1EDF" w14:paraId="6EF6A9C1" w14:textId="77777777" w:rsidTr="00180453">
        <w:tc>
          <w:tcPr>
            <w:tcW w:w="9964" w:type="dxa"/>
          </w:tcPr>
          <w:p w14:paraId="6077CCBF" w14:textId="77777777" w:rsidR="00BA1EDF" w:rsidRDefault="00BA1EDF" w:rsidP="00180453">
            <w:r>
              <w:t xml:space="preserve">If the device re-positioning approach outlined in Annex N is adopted for all EIRP/EIS/TRP based conformance test cases, the quality of quiet zone analysis is sufficient only for </w:t>
            </w:r>
            <w:r w:rsidRPr="00B8418C">
              <w:rPr>
                <w:rFonts w:ascii="Symbol" w:hAnsi="Symbol"/>
              </w:rPr>
              <w:t></w:t>
            </w:r>
            <w:r>
              <w:t xml:space="preserve"> = 0</w:t>
            </w:r>
            <w:r>
              <w:rPr>
                <w:rFonts w:ascii="Arial" w:hAnsi="Arial" w:cs="Arial"/>
              </w:rPr>
              <w:t>°</w:t>
            </w:r>
            <w:r>
              <w:t>, 45</w:t>
            </w:r>
            <w:r>
              <w:rPr>
                <w:rFonts w:ascii="Arial" w:hAnsi="Arial" w:cs="Arial"/>
              </w:rPr>
              <w:t>°</w:t>
            </w:r>
            <w:r>
              <w:t>, 90</w:t>
            </w:r>
            <w:r>
              <w:rPr>
                <w:rFonts w:ascii="Arial" w:hAnsi="Arial" w:cs="Arial"/>
              </w:rPr>
              <w:t>°</w:t>
            </w:r>
            <w:r>
              <w:t>, 270</w:t>
            </w:r>
            <w:r>
              <w:rPr>
                <w:rFonts w:ascii="Arial" w:hAnsi="Arial" w:cs="Arial"/>
              </w:rPr>
              <w:t>°</w:t>
            </w:r>
            <w:r>
              <w:t>, and 315</w:t>
            </w:r>
            <w:r>
              <w:rPr>
                <w:rFonts w:ascii="Arial" w:hAnsi="Arial" w:cs="Arial"/>
              </w:rPr>
              <w:t>°</w:t>
            </w:r>
            <w:r>
              <w:rPr>
                <w:sz w:val="13"/>
                <w:szCs w:val="13"/>
              </w:rPr>
              <w:t>.</w:t>
            </w:r>
          </w:p>
        </w:tc>
      </w:tr>
    </w:tbl>
    <w:p w14:paraId="07DB4050" w14:textId="08C968B9" w:rsidR="00BA1EDF" w:rsidRDefault="00BA1EDF" w:rsidP="00BA1EDF">
      <w:pPr>
        <w:pStyle w:val="Caption"/>
      </w:pPr>
      <w:bookmarkStart w:id="0" w:name="_Ref155884385"/>
      <w:r>
        <w:t xml:space="preserve">Observation </w:t>
      </w:r>
      <w:r>
        <w:fldChar w:fldCharType="begin"/>
      </w:r>
      <w:r>
        <w:instrText xml:space="preserve"> SEQ Observation \* ARABIC </w:instrText>
      </w:r>
      <w:r>
        <w:fldChar w:fldCharType="separate"/>
      </w:r>
      <w:r w:rsidR="00CD20F2">
        <w:rPr>
          <w:noProof/>
        </w:rPr>
        <w:t>1</w:t>
      </w:r>
      <w:r>
        <w:fldChar w:fldCharType="end"/>
      </w:r>
      <w:r>
        <w:t>: FR2 UE RF test cases take the re-positioning approach into account and the reference MU/MTSU are based on the re-positioning approach adopted.</w:t>
      </w:r>
      <w:bookmarkEnd w:id="0"/>
      <w:r>
        <w:t xml:space="preserve"> </w:t>
      </w:r>
    </w:p>
    <w:p w14:paraId="1DD9C511" w14:textId="0CA451CF" w:rsidR="00964230" w:rsidRDefault="005357AD" w:rsidP="00320665">
      <w:r>
        <w:t>For 2 AoA RRM TCs, the reference MU/MTSU was also defined with the re-positioning concept applied</w:t>
      </w:r>
      <w:r w:rsidR="001C4F09">
        <w:t xml:space="preserve"> </w:t>
      </w:r>
      <w:r w:rsidR="00EE3C48" w:rsidRPr="00EE3C48">
        <w:fldChar w:fldCharType="begin"/>
      </w:r>
      <w:r w:rsidR="00EE3C48" w:rsidRPr="00EE3C48">
        <w:instrText xml:space="preserve"> REF _Ref200539056 \w </w:instrText>
      </w:r>
      <w:r w:rsidR="00EE3C48" w:rsidRPr="00EE3C48">
        <w:fldChar w:fldCharType="separate"/>
      </w:r>
      <w:r w:rsidR="00EE3C48" w:rsidRPr="00EE3C48">
        <w:t>[4]</w:t>
      </w:r>
      <w:r w:rsidR="00EE3C48" w:rsidRPr="00EE3C48">
        <w:fldChar w:fldCharType="end"/>
      </w:r>
      <w:r w:rsidR="005365F6" w:rsidRPr="00EE3C48">
        <w:fldChar w:fldCharType="begin"/>
      </w:r>
      <w:r w:rsidR="005365F6" w:rsidRPr="00EE3C48">
        <w:instrText xml:space="preserve"> REF _Ref200539245 \w </w:instrText>
      </w:r>
      <w:r w:rsidR="005365F6" w:rsidRPr="00EE3C48">
        <w:fldChar w:fldCharType="separate"/>
      </w:r>
      <w:r w:rsidR="00CD20F2" w:rsidRPr="00EE3C48">
        <w:t>[5]</w:t>
      </w:r>
      <w:r w:rsidR="005365F6" w:rsidRPr="00EE3C48">
        <w:fldChar w:fldCharType="end"/>
      </w:r>
      <w:r w:rsidR="00BC2859">
        <w:t xml:space="preserve"> even though some restrictions </w:t>
      </w:r>
      <w:r w:rsidR="00A82CFB">
        <w:t>in positioner placements were</w:t>
      </w:r>
      <w:r w:rsidR="00185BF0">
        <w:t xml:space="preserve"> demonstrated, e.g., </w:t>
      </w:r>
      <w:r w:rsidR="007F41F7">
        <w:t>Figure</w:t>
      </w:r>
      <w:r w:rsidR="00A776E1">
        <w:t xml:space="preserve"> 4 </w:t>
      </w:r>
      <w:r w:rsidR="00EB60D8">
        <w:t xml:space="preserve">of </w:t>
      </w:r>
      <w:r w:rsidR="00EB60D8">
        <w:fldChar w:fldCharType="begin"/>
      </w:r>
      <w:r w:rsidR="00EB60D8">
        <w:instrText xml:space="preserve"> REF _Ref200539013 \w </w:instrText>
      </w:r>
      <w:r w:rsidR="00EB60D8">
        <w:fldChar w:fldCharType="separate"/>
      </w:r>
      <w:r w:rsidR="00CD20F2">
        <w:t>[2]</w:t>
      </w:r>
      <w:r w:rsidR="00EB60D8">
        <w:fldChar w:fldCharType="end"/>
      </w:r>
      <w:r w:rsidR="00EB60D8">
        <w:t xml:space="preserve"> showed</w:t>
      </w:r>
      <w:r w:rsidR="00861EE8">
        <w:t xml:space="preserve"> areas in red that the positioner</w:t>
      </w:r>
      <w:r w:rsidR="00606816">
        <w:t xml:space="preserve">, if </w:t>
      </w:r>
      <w:r w:rsidR="00194805">
        <w:t xml:space="preserve">the mast is </w:t>
      </w:r>
      <w:r w:rsidR="00606816">
        <w:t>placed within these area</w:t>
      </w:r>
      <w:r w:rsidR="00962A6F">
        <w:t>s</w:t>
      </w:r>
      <w:r w:rsidR="00606816">
        <w:t>,</w:t>
      </w:r>
      <w:r w:rsidR="00861EE8">
        <w:t xml:space="preserve"> will yield block</w:t>
      </w:r>
      <w:r w:rsidR="00606816">
        <w:t>ing</w:t>
      </w:r>
      <w:r w:rsidR="003E0700" w:rsidRPr="003E0700">
        <w:t xml:space="preserve"> </w:t>
      </w:r>
      <w:r w:rsidR="006B0F5B">
        <w:t xml:space="preserve">to at least one probe </w:t>
      </w:r>
      <w:r w:rsidR="00020C69">
        <w:t>with two</w:t>
      </w:r>
      <w:r w:rsidR="003E0700">
        <w:t xml:space="preserve"> probes (blue and red) active. </w:t>
      </w:r>
    </w:p>
    <w:tbl>
      <w:tblPr>
        <w:tblStyle w:val="TableGrid"/>
        <w:tblW w:w="0" w:type="auto"/>
        <w:tblLook w:val="04A0" w:firstRow="1" w:lastRow="0" w:firstColumn="1" w:lastColumn="0" w:noHBand="0" w:noVBand="1"/>
      </w:tblPr>
      <w:tblGrid>
        <w:gridCol w:w="9629"/>
      </w:tblGrid>
      <w:tr w:rsidR="007F41F7" w14:paraId="6CF91B01" w14:textId="77777777" w:rsidTr="007F41F7">
        <w:tc>
          <w:tcPr>
            <w:tcW w:w="9629" w:type="dxa"/>
          </w:tcPr>
          <w:p w14:paraId="3FAEE232" w14:textId="77777777" w:rsidR="007F41F7" w:rsidRDefault="007F41F7" w:rsidP="007F41F7">
            <w:pPr>
              <w:pStyle w:val="Caption"/>
            </w:pPr>
            <w:bookmarkStart w:id="1" w:name="_Ref155897396"/>
            <w:r w:rsidRPr="00B149B7">
              <w:rPr>
                <w:noProof/>
              </w:rPr>
              <w:lastRenderedPageBreak/>
              <w:drawing>
                <wp:inline distT="0" distB="0" distL="0" distR="0" wp14:anchorId="318223D9" wp14:editId="68A60230">
                  <wp:extent cx="5486400" cy="6380264"/>
                  <wp:effectExtent l="0" t="0" r="0" b="1905"/>
                  <wp:docPr id="938274260" name="Picture 93827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5486400" cy="6380264"/>
                          </a:xfrm>
                          <a:prstGeom prst="rect">
                            <a:avLst/>
                          </a:prstGeom>
                          <a:noFill/>
                          <a:ln>
                            <a:noFill/>
                          </a:ln>
                        </pic:spPr>
                      </pic:pic>
                    </a:graphicData>
                  </a:graphic>
                </wp:inline>
              </w:drawing>
            </w:r>
          </w:p>
          <w:p w14:paraId="2DE95F48" w14:textId="6FEBD7DB" w:rsidR="007F41F7" w:rsidRDefault="007F41F7" w:rsidP="007F41F7">
            <w:pPr>
              <w:pStyle w:val="Caption"/>
              <w:jc w:val="center"/>
            </w:pPr>
            <w:r>
              <w:t>Figure 4: Ranges of positioner locations for 2 AoA TCs that are applicable with re-position concept (separately for each 2 AoA combination with P0 active)</w:t>
            </w:r>
            <w:bookmarkEnd w:id="1"/>
          </w:p>
        </w:tc>
      </w:tr>
    </w:tbl>
    <w:p w14:paraId="60C40165" w14:textId="65FA483E" w:rsidR="005F2AF4" w:rsidRDefault="005F2AF4" w:rsidP="005F2AF4">
      <w:pPr>
        <w:pStyle w:val="Caption"/>
      </w:pPr>
      <w:bookmarkStart w:id="2" w:name="_Ref200545898"/>
      <w:r>
        <w:t xml:space="preserve">Observation </w:t>
      </w:r>
      <w:r>
        <w:fldChar w:fldCharType="begin"/>
      </w:r>
      <w:r>
        <w:instrText xml:space="preserve"> SEQ Observation \* ARABIC </w:instrText>
      </w:r>
      <w:r>
        <w:fldChar w:fldCharType="separate"/>
      </w:r>
      <w:r w:rsidR="00CD20F2">
        <w:rPr>
          <w:noProof/>
        </w:rPr>
        <w:t>2</w:t>
      </w:r>
      <w:r>
        <w:fldChar w:fldCharType="end"/>
      </w:r>
      <w:r>
        <w:t xml:space="preserve">: </w:t>
      </w:r>
      <w:r w:rsidR="005E225B">
        <w:t xml:space="preserve">1 AoA and 2 AoA RRM </w:t>
      </w:r>
      <w:r>
        <w:t>test cases take the re-positioning approach into account and the reference MU/MTSU are based on the re-positioning approach adopted.</w:t>
      </w:r>
      <w:bookmarkEnd w:id="2"/>
      <w:r>
        <w:t xml:space="preserve"> </w:t>
      </w:r>
    </w:p>
    <w:p w14:paraId="6248DE49" w14:textId="6AB75C89" w:rsidR="00634392" w:rsidRDefault="004D2025" w:rsidP="00634392">
      <w:r>
        <w:t>When 3 probes are active</w:t>
      </w:r>
      <w:r w:rsidR="00632D14">
        <w:t xml:space="preserve"> for traditional RRM TCs</w:t>
      </w:r>
      <w:r w:rsidR="00022A24">
        <w:t xml:space="preserve">, </w:t>
      </w:r>
      <w:r w:rsidR="004507A2">
        <w:t>e.g.</w:t>
      </w:r>
      <w:r w:rsidR="00022A24">
        <w:t xml:space="preserve">, Setup </w:t>
      </w:r>
      <w:r w:rsidR="007550B7">
        <w:t>7</w:t>
      </w:r>
      <w:r w:rsidR="00632D14">
        <w:t xml:space="preserve"> defined in Clause A.9.7 of </w:t>
      </w:r>
      <w:r w:rsidR="00632D14">
        <w:fldChar w:fldCharType="begin"/>
      </w:r>
      <w:r w:rsidR="00632D14">
        <w:instrText xml:space="preserve"> REF _Ref200539056 \w </w:instrText>
      </w:r>
      <w:r w:rsidR="00632D14">
        <w:fldChar w:fldCharType="separate"/>
      </w:r>
      <w:r w:rsidR="00CD20F2">
        <w:t>[4]</w:t>
      </w:r>
      <w:r w:rsidR="00632D14">
        <w:fldChar w:fldCharType="end"/>
      </w:r>
      <w:r w:rsidR="00605804">
        <w:t>,</w:t>
      </w:r>
      <w:r w:rsidR="002E555E">
        <w:t xml:space="preserve"> even more restrictions in terms of viable positioner</w:t>
      </w:r>
      <w:r w:rsidR="000A2BA8">
        <w:t xml:space="preserve"> ranges that do not introduce blocking effects </w:t>
      </w:r>
      <w:r w:rsidR="00865280">
        <w:t>are</w:t>
      </w:r>
      <w:r w:rsidR="000A2BA8">
        <w:t xml:space="preserve"> evident. This is further illustrated in </w:t>
      </w:r>
      <w:r w:rsidR="00680080">
        <w:fldChar w:fldCharType="begin"/>
      </w:r>
      <w:r w:rsidR="00680080">
        <w:instrText xml:space="preserve"> REF _Ref200543875 \h </w:instrText>
      </w:r>
      <w:r w:rsidR="00680080">
        <w:fldChar w:fldCharType="separate"/>
      </w:r>
      <w:r w:rsidR="00CD20F2">
        <w:t xml:space="preserve">Figure </w:t>
      </w:r>
      <w:r w:rsidR="00CD20F2">
        <w:rPr>
          <w:noProof/>
        </w:rPr>
        <w:t>1</w:t>
      </w:r>
      <w:r w:rsidR="00680080">
        <w:fldChar w:fldCharType="end"/>
      </w:r>
      <w:r w:rsidR="00B97830">
        <w:t xml:space="preserve"> where three different 3 active probe scenarios </w:t>
      </w:r>
      <w:r w:rsidR="00F17D3A">
        <w:t>are shown with maximum relative angular separation of 60</w:t>
      </w:r>
      <w:r w:rsidR="00F17D3A">
        <w:rPr>
          <w:rFonts w:ascii="Arial" w:hAnsi="Arial" w:cs="Arial"/>
        </w:rPr>
        <w:t>°</w:t>
      </w:r>
      <w:r w:rsidR="00F17D3A">
        <w:t xml:space="preserve"> (top left) </w:t>
      </w:r>
      <w:r w:rsidR="009E09D9">
        <w:t>through 150</w:t>
      </w:r>
      <w:r w:rsidR="009E09D9">
        <w:rPr>
          <w:rFonts w:ascii="Arial" w:hAnsi="Arial" w:cs="Arial"/>
        </w:rPr>
        <w:t>°</w:t>
      </w:r>
      <w:r w:rsidR="009E09D9">
        <w:t xml:space="preserve"> (bottom right)</w:t>
      </w:r>
      <w:r w:rsidR="00680080">
        <w:t>. Again, only when the positioner</w:t>
      </w:r>
      <w:r w:rsidR="0030206E">
        <w:t xml:space="preserve"> mast</w:t>
      </w:r>
      <w:r w:rsidR="00680080">
        <w:t xml:space="preserve"> is placed </w:t>
      </w:r>
      <w:r w:rsidR="002D61A0">
        <w:t>within</w:t>
      </w:r>
      <w:r w:rsidR="00680080">
        <w:t xml:space="preserve"> the </w:t>
      </w:r>
      <w:r w:rsidR="009E09D9">
        <w:t xml:space="preserve">highlighted </w:t>
      </w:r>
      <w:r w:rsidR="00680080">
        <w:t xml:space="preserve">green </w:t>
      </w:r>
      <w:r w:rsidR="002D61A0">
        <w:t>range</w:t>
      </w:r>
      <w:r w:rsidR="009E09D9">
        <w:t>, no positioner blocking</w:t>
      </w:r>
      <w:r w:rsidR="00EE3F94">
        <w:t xml:space="preserve"> is experienced; however, when the positioner </w:t>
      </w:r>
      <w:r w:rsidR="0030206E">
        <w:t xml:space="preserve">mast is placed within the red area, at least one of the active probes will experience </w:t>
      </w:r>
      <w:r w:rsidR="00364230">
        <w:t xml:space="preserve">potentially severe </w:t>
      </w:r>
      <w:r w:rsidR="0030206E">
        <w:t>blocking.</w:t>
      </w:r>
    </w:p>
    <w:p w14:paraId="1BFCF0BE" w14:textId="4C8E3E51" w:rsidR="000A2BA8" w:rsidRDefault="00C70D30" w:rsidP="00C70D30">
      <w:pPr>
        <w:jc w:val="center"/>
      </w:pPr>
      <w:r w:rsidRPr="00C70D30">
        <w:rPr>
          <w:noProof/>
        </w:rPr>
        <w:lastRenderedPageBreak/>
        <w:drawing>
          <wp:inline distT="0" distB="0" distL="0" distR="0" wp14:anchorId="1AEB87C7" wp14:editId="40A67030">
            <wp:extent cx="5486400" cy="4197759"/>
            <wp:effectExtent l="0" t="0" r="0" b="0"/>
            <wp:docPr id="19228608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86400" cy="4197759"/>
                    </a:xfrm>
                    <a:prstGeom prst="rect">
                      <a:avLst/>
                    </a:prstGeom>
                    <a:noFill/>
                    <a:ln>
                      <a:noFill/>
                    </a:ln>
                  </pic:spPr>
                </pic:pic>
              </a:graphicData>
            </a:graphic>
          </wp:inline>
        </w:drawing>
      </w:r>
    </w:p>
    <w:p w14:paraId="3DC974D6" w14:textId="066277F8" w:rsidR="000A2BA8" w:rsidRDefault="000A2BA8" w:rsidP="00367FFA">
      <w:pPr>
        <w:pStyle w:val="Caption"/>
        <w:jc w:val="center"/>
      </w:pPr>
      <w:bookmarkStart w:id="3" w:name="_Ref200543875"/>
      <w:r>
        <w:t xml:space="preserve">Figure </w:t>
      </w:r>
      <w:r>
        <w:fldChar w:fldCharType="begin"/>
      </w:r>
      <w:r>
        <w:instrText xml:space="preserve"> SEQ Figure \* ARABIC </w:instrText>
      </w:r>
      <w:r>
        <w:fldChar w:fldCharType="separate"/>
      </w:r>
      <w:r w:rsidR="00CD20F2">
        <w:rPr>
          <w:noProof/>
        </w:rPr>
        <w:t>1</w:t>
      </w:r>
      <w:r>
        <w:fldChar w:fldCharType="end"/>
      </w:r>
      <w:bookmarkEnd w:id="3"/>
      <w:r>
        <w:t xml:space="preserve">: </w:t>
      </w:r>
      <w:r w:rsidR="009F6FD2">
        <w:t xml:space="preserve">Ranges of positioner locations for 3 AoA TCs that are applicable (shown in green) with re-position concept </w:t>
      </w:r>
      <w:r w:rsidR="00634E2D">
        <w:t>with no positioner blocking effects for three</w:t>
      </w:r>
      <w:r w:rsidR="00367FFA">
        <w:t xml:space="preserve"> probes (1 x blue, 2 x red) active</w:t>
      </w:r>
    </w:p>
    <w:p w14:paraId="3153DC42" w14:textId="6F95730C" w:rsidR="00097124" w:rsidRDefault="004B6666" w:rsidP="000A2BA8">
      <w:r>
        <w:t xml:space="preserve">Clearly, since RRM test cases </w:t>
      </w:r>
      <w:r w:rsidR="001B5F3F">
        <w:t>for 3 AoAs</w:t>
      </w:r>
      <w:r w:rsidR="00297F5F">
        <w:t xml:space="preserve"> require</w:t>
      </w:r>
      <w:r w:rsidR="00097124">
        <w:t xml:space="preserve"> changing the relative angular separations between iterations, as outlined in Clause A.9.7 </w:t>
      </w:r>
      <w:r w:rsidR="00097124">
        <w:fldChar w:fldCharType="begin"/>
      </w:r>
      <w:r w:rsidR="00097124">
        <w:instrText xml:space="preserve"> REF _Ref200539056 \w </w:instrText>
      </w:r>
      <w:r w:rsidR="00097124">
        <w:fldChar w:fldCharType="separate"/>
      </w:r>
      <w:r w:rsidR="00CD20F2">
        <w:t>[4]</w:t>
      </w:r>
      <w:r w:rsidR="00097124">
        <w:fldChar w:fldCharType="end"/>
      </w:r>
      <w:r w:rsidR="006924E0">
        <w:t>,</w:t>
      </w:r>
    </w:p>
    <w:tbl>
      <w:tblPr>
        <w:tblStyle w:val="TableGrid"/>
        <w:tblW w:w="0" w:type="auto"/>
        <w:tblLook w:val="04A0" w:firstRow="1" w:lastRow="0" w:firstColumn="1" w:lastColumn="0" w:noHBand="0" w:noVBand="1"/>
      </w:tblPr>
      <w:tblGrid>
        <w:gridCol w:w="9629"/>
      </w:tblGrid>
      <w:tr w:rsidR="00097124" w14:paraId="65F25AF3" w14:textId="77777777" w:rsidTr="00097124">
        <w:tc>
          <w:tcPr>
            <w:tcW w:w="9629" w:type="dxa"/>
          </w:tcPr>
          <w:p w14:paraId="38757A7A" w14:textId="77777777" w:rsidR="00097124" w:rsidRPr="003B6B99" w:rsidRDefault="00097124" w:rsidP="00097124">
            <w:pPr>
              <w:rPr>
                <w:b/>
                <w:bCs/>
                <w:sz w:val="28"/>
                <w:szCs w:val="28"/>
                <w:lang w:val="en-US"/>
              </w:rPr>
            </w:pPr>
            <w:r w:rsidRPr="003B6B99">
              <w:rPr>
                <w:b/>
                <w:bCs/>
                <w:sz w:val="28"/>
                <w:szCs w:val="28"/>
                <w:lang w:val="en-US"/>
              </w:rPr>
              <w:t>A.9.7 Setup 7: 3 AoAs</w:t>
            </w:r>
          </w:p>
          <w:p w14:paraId="5CF9605B" w14:textId="19BF8454" w:rsidR="00097124" w:rsidRDefault="00097124" w:rsidP="00097124">
            <w:r w:rsidRPr="003B6B99">
              <w:rPr>
                <w:lang w:val="en-US"/>
              </w:rPr>
              <w:t xml:space="preserve">There are 3 active probes in the test. The DL signals, and noise if applicable, transmitted from the three active probes, align to directions (AoAs) which are from the set of directions corresponding to the EIS spherical coverage percentile of the DUT as defined in clause 7.3.4 of TS 38.101-2 [3] for each UE power class. </w:t>
            </w:r>
            <w:r w:rsidRPr="007D7AA0">
              <w:rPr>
                <w:highlight w:val="yellow"/>
                <w:lang w:val="en-US"/>
              </w:rPr>
              <w:t>The relative angular offset between the directions (AoAs) of the 3 active probes, shall be changed for each test iteration.</w:t>
            </w:r>
            <w:r w:rsidRPr="003B6B99">
              <w:rPr>
                <w:lang w:val="en-US"/>
              </w:rPr>
              <w:t xml:space="preserve"> Any combinations of two relative angular offsets between 2 active probes specified in Table A.9.3-1, is considered as a valid applicable relative angular offsets between 3 active probes for the respective power class.</w:t>
            </w:r>
          </w:p>
        </w:tc>
      </w:tr>
    </w:tbl>
    <w:p w14:paraId="6CC2A702" w14:textId="4538E526" w:rsidR="000A2BA8" w:rsidRDefault="006B0BD9" w:rsidP="000A2BA8">
      <w:r>
        <w:t>a</w:t>
      </w:r>
      <w:r w:rsidR="00AF3378">
        <w:t>pplying the re-positioning concept</w:t>
      </w:r>
      <w:r>
        <w:t xml:space="preserve"> would result in a very limited set of ranges for the positioner to avoid blocking effects. Additionally, most commercial </w:t>
      </w:r>
      <w:r w:rsidR="00A35DD0">
        <w:t xml:space="preserve">Multi-AoA RRM test </w:t>
      </w:r>
      <w:r>
        <w:t>systems</w:t>
      </w:r>
      <w:r w:rsidR="00A35DD0">
        <w:t xml:space="preserve"> do not rely on </w:t>
      </w:r>
      <w:r w:rsidR="008246C1">
        <w:t xml:space="preserve">6 discrete probes but rather 4 probes which have additional </w:t>
      </w:r>
      <w:r w:rsidR="007574CE">
        <w:t>constraints</w:t>
      </w:r>
      <w:r w:rsidR="008246C1">
        <w:t xml:space="preserve"> </w:t>
      </w:r>
      <w:r w:rsidR="00064CBD">
        <w:t xml:space="preserve">on </w:t>
      </w:r>
      <w:r w:rsidR="00736302">
        <w:t xml:space="preserve">the selection of active probes and thus positioner blocking. </w:t>
      </w:r>
    </w:p>
    <w:p w14:paraId="7CB45193" w14:textId="6CD97D98" w:rsidR="001E41F3" w:rsidRDefault="004365F8" w:rsidP="004365F8">
      <w:pPr>
        <w:pStyle w:val="Caption"/>
      </w:pPr>
      <w:bookmarkStart w:id="4" w:name="_Ref200545899"/>
      <w:r>
        <w:t xml:space="preserve">Observation </w:t>
      </w:r>
      <w:r>
        <w:fldChar w:fldCharType="begin"/>
      </w:r>
      <w:r>
        <w:instrText xml:space="preserve"> SEQ Observation \* ARABIC </w:instrText>
      </w:r>
      <w:r>
        <w:fldChar w:fldCharType="separate"/>
      </w:r>
      <w:r w:rsidR="00CD20F2">
        <w:rPr>
          <w:noProof/>
        </w:rPr>
        <w:t>3</w:t>
      </w:r>
      <w:r>
        <w:fldChar w:fldCharType="end"/>
      </w:r>
      <w:r w:rsidR="00736302">
        <w:t xml:space="preserve">: </w:t>
      </w:r>
      <w:r w:rsidR="005C65D0">
        <w:t xml:space="preserve">3 AoA RRM Test Cases </w:t>
      </w:r>
      <w:r w:rsidR="00912F95">
        <w:t>yield very limited set of ranges for the positioner to avoid blocking effects</w:t>
      </w:r>
      <w:r w:rsidR="00994015">
        <w:t xml:space="preserve"> with the re-positioner concept applied</w:t>
      </w:r>
      <w:bookmarkEnd w:id="4"/>
    </w:p>
    <w:p w14:paraId="0655A199" w14:textId="1267E065" w:rsidR="00994015" w:rsidRPr="00994015" w:rsidRDefault="00994015" w:rsidP="00994015">
      <w:r>
        <w:t xml:space="preserve">It is therefore proposed that for 3 AoA RRM TCs, the </w:t>
      </w:r>
      <w:r w:rsidR="00BA3F2A">
        <w:t xml:space="preserve">re-positioning concept is </w:t>
      </w:r>
      <w:r w:rsidR="00BA3F2A" w:rsidRPr="00CA668E">
        <w:rPr>
          <w:u w:val="single"/>
        </w:rPr>
        <w:t>not</w:t>
      </w:r>
      <w:r w:rsidR="00BA3F2A">
        <w:t xml:space="preserve"> considered the default approach given the very limit</w:t>
      </w:r>
      <w:r w:rsidR="00FB34F4">
        <w:t xml:space="preserve">ed positioner ranges, i.e., the reference MU/MTSU for these test cases are defined with the </w:t>
      </w:r>
      <w:r w:rsidR="00B47F2F">
        <w:t xml:space="preserve">QoQZ MU that does not take re-positioning into account. </w:t>
      </w:r>
    </w:p>
    <w:p w14:paraId="5112AC91" w14:textId="36182BD4" w:rsidR="004365F8" w:rsidRDefault="004365F8" w:rsidP="004365F8">
      <w:pPr>
        <w:pStyle w:val="Caption"/>
      </w:pPr>
      <w:bookmarkStart w:id="5" w:name="_Ref200545900"/>
      <w:r>
        <w:t xml:space="preserve">Proposal </w:t>
      </w:r>
      <w:r>
        <w:fldChar w:fldCharType="begin"/>
      </w:r>
      <w:r>
        <w:instrText xml:space="preserve"> SEQ Proposal \* ARABIC </w:instrText>
      </w:r>
      <w:r>
        <w:fldChar w:fldCharType="separate"/>
      </w:r>
      <w:r w:rsidR="00CD20F2">
        <w:rPr>
          <w:noProof/>
        </w:rPr>
        <w:t>1</w:t>
      </w:r>
      <w:r>
        <w:fldChar w:fldCharType="end"/>
      </w:r>
      <w:r w:rsidR="00B47F2F">
        <w:t xml:space="preserve">: For 3 AoA RRM TCs, the re-positioning concept is not considered the default approach given the very limited positioner ranges, i.e., the reference MU/MTSU for these test cases are defined </w:t>
      </w:r>
      <w:r w:rsidR="00BC723F">
        <w:t>without the optimized</w:t>
      </w:r>
      <w:r w:rsidR="00B47F2F">
        <w:t xml:space="preserve"> QoQZ MU</w:t>
      </w:r>
      <w:r w:rsidR="00BC723F">
        <w:t>.</w:t>
      </w:r>
      <w:bookmarkEnd w:id="5"/>
    </w:p>
    <w:p w14:paraId="252941FA" w14:textId="58563324" w:rsidR="00C70176" w:rsidRDefault="00C70176" w:rsidP="00C70176">
      <w:r>
        <w:t xml:space="preserve">To determine the 3 AoA </w:t>
      </w:r>
      <w:r w:rsidR="00B66ABC">
        <w:t xml:space="preserve">RRM </w:t>
      </w:r>
      <w:r>
        <w:t>reference MU/MTSU</w:t>
      </w:r>
      <w:r w:rsidR="00B66ABC">
        <w:t xml:space="preserve">, test system vendors will have to assess their chambers </w:t>
      </w:r>
      <w:r w:rsidR="00B11ED7">
        <w:t xml:space="preserve">for QoQZ </w:t>
      </w:r>
      <w:r w:rsidR="00D41EEB">
        <w:t xml:space="preserve">MU </w:t>
      </w:r>
      <w:r w:rsidR="00B66ABC">
        <w:t xml:space="preserve">without the </w:t>
      </w:r>
      <w:r w:rsidR="00855D07">
        <w:t>re-positioning concept applied.</w:t>
      </w:r>
      <w:r w:rsidR="00D41EEB">
        <w:t xml:space="preserve"> Until this QoQZ MU is defined, the MTSU for TCs </w:t>
      </w:r>
      <w:r w:rsidR="00E50E5C">
        <w:t xml:space="preserve">using 3 AoAs </w:t>
      </w:r>
      <w:r w:rsidR="00D41EEB">
        <w:t xml:space="preserve">cannot be finalized. </w:t>
      </w:r>
    </w:p>
    <w:p w14:paraId="323AF366" w14:textId="70851FAD" w:rsidR="00855D07" w:rsidRDefault="00855D07" w:rsidP="00855D07">
      <w:pPr>
        <w:pStyle w:val="Caption"/>
      </w:pPr>
      <w:bookmarkStart w:id="6" w:name="_Ref200546051"/>
      <w:r>
        <w:lastRenderedPageBreak/>
        <w:t xml:space="preserve">Proposal </w:t>
      </w:r>
      <w:r>
        <w:fldChar w:fldCharType="begin"/>
      </w:r>
      <w:r>
        <w:instrText xml:space="preserve"> SEQ Proposal \* ARABIC </w:instrText>
      </w:r>
      <w:r>
        <w:fldChar w:fldCharType="separate"/>
      </w:r>
      <w:r w:rsidR="00CD20F2">
        <w:rPr>
          <w:noProof/>
        </w:rPr>
        <w:t>2</w:t>
      </w:r>
      <w:r>
        <w:fldChar w:fldCharType="end"/>
      </w:r>
      <w:r>
        <w:t>: Test system vendors to assess their chambers</w:t>
      </w:r>
      <w:r w:rsidR="00687B06">
        <w:t xml:space="preserve"> for QoQZ MU</w:t>
      </w:r>
      <w:r>
        <w:t xml:space="preserve"> without the re-positioning concept applied.</w:t>
      </w:r>
      <w:bookmarkEnd w:id="6"/>
    </w:p>
    <w:p w14:paraId="6A589B72" w14:textId="77777777" w:rsidR="004365F8" w:rsidRDefault="004365F8" w:rsidP="004365F8">
      <w:pPr>
        <w:pStyle w:val="Heading1"/>
      </w:pPr>
      <w:r>
        <w:t>Conclusion</w:t>
      </w:r>
    </w:p>
    <w:p w14:paraId="01C90C91" w14:textId="77777777" w:rsidR="004365F8" w:rsidRDefault="004365F8" w:rsidP="004365F8">
      <w:r>
        <w:t>The following observations and conclusions were made in this contribution.</w:t>
      </w:r>
    </w:p>
    <w:p w14:paraId="1767D0D4" w14:textId="77777777" w:rsidR="0020756A" w:rsidRPr="0020756A" w:rsidRDefault="0020756A" w:rsidP="004365F8">
      <w:pPr>
        <w:rPr>
          <w:i/>
        </w:rPr>
      </w:pPr>
      <w:r w:rsidRPr="0020756A">
        <w:rPr>
          <w:i/>
        </w:rPr>
        <w:fldChar w:fldCharType="begin"/>
      </w:r>
      <w:r w:rsidRPr="0020756A">
        <w:rPr>
          <w:i/>
        </w:rPr>
        <w:instrText xml:space="preserve"> REF _Ref155884385 \h </w:instrText>
      </w:r>
      <w:r w:rsidRPr="0020756A">
        <w:rPr>
          <w:i/>
        </w:rPr>
      </w:r>
      <w:r w:rsidRPr="0020756A">
        <w:rPr>
          <w:i/>
        </w:rPr>
        <w:fldChar w:fldCharType="separate"/>
      </w:r>
      <w:r w:rsidRPr="0020756A">
        <w:rPr>
          <w:i/>
        </w:rPr>
        <w:t xml:space="preserve">Observation </w:t>
      </w:r>
      <w:r w:rsidRPr="0020756A">
        <w:rPr>
          <w:i/>
          <w:noProof/>
        </w:rPr>
        <w:t>1</w:t>
      </w:r>
      <w:r w:rsidRPr="0020756A">
        <w:rPr>
          <w:i/>
        </w:rPr>
        <w:t>: FR2 UE RF test cases take the re-positioning approach into account and the reference MU/MTSU are based on the re-positioning approach adopted.</w:t>
      </w:r>
      <w:r w:rsidRPr="0020756A">
        <w:rPr>
          <w:i/>
        </w:rPr>
        <w:fldChar w:fldCharType="end"/>
      </w:r>
    </w:p>
    <w:p w14:paraId="4FB18432" w14:textId="77777777" w:rsidR="0020756A" w:rsidRPr="0020756A" w:rsidRDefault="0020756A" w:rsidP="004365F8">
      <w:pPr>
        <w:rPr>
          <w:i/>
        </w:rPr>
      </w:pPr>
      <w:r w:rsidRPr="0020756A">
        <w:rPr>
          <w:i/>
        </w:rPr>
        <w:fldChar w:fldCharType="begin"/>
      </w:r>
      <w:r w:rsidRPr="0020756A">
        <w:rPr>
          <w:i/>
        </w:rPr>
        <w:instrText xml:space="preserve"> REF _Ref200545898 \h </w:instrText>
      </w:r>
      <w:r w:rsidRPr="0020756A">
        <w:rPr>
          <w:i/>
        </w:rPr>
      </w:r>
      <w:r w:rsidRPr="0020756A">
        <w:rPr>
          <w:i/>
        </w:rPr>
        <w:fldChar w:fldCharType="separate"/>
      </w:r>
      <w:r w:rsidRPr="0020756A">
        <w:rPr>
          <w:i/>
        </w:rPr>
        <w:t xml:space="preserve">Observation </w:t>
      </w:r>
      <w:r w:rsidRPr="0020756A">
        <w:rPr>
          <w:i/>
          <w:noProof/>
        </w:rPr>
        <w:t>2</w:t>
      </w:r>
      <w:r w:rsidRPr="0020756A">
        <w:rPr>
          <w:i/>
        </w:rPr>
        <w:t>: 1 AoA and 2 AoA RRM test cases take the re-positioning approach into account and the reference MU/MTSU are based on the re-positioning approach adopted.</w:t>
      </w:r>
      <w:r w:rsidRPr="0020756A">
        <w:rPr>
          <w:i/>
        </w:rPr>
        <w:fldChar w:fldCharType="end"/>
      </w:r>
    </w:p>
    <w:p w14:paraId="05DBC72C" w14:textId="77777777" w:rsidR="0020756A" w:rsidRPr="0020756A" w:rsidRDefault="0020756A" w:rsidP="004365F8">
      <w:pPr>
        <w:rPr>
          <w:i/>
        </w:rPr>
      </w:pPr>
      <w:r w:rsidRPr="0020756A">
        <w:rPr>
          <w:i/>
        </w:rPr>
        <w:fldChar w:fldCharType="begin"/>
      </w:r>
      <w:r w:rsidRPr="0020756A">
        <w:rPr>
          <w:i/>
        </w:rPr>
        <w:instrText xml:space="preserve"> REF _Ref200545899 \h </w:instrText>
      </w:r>
      <w:r w:rsidRPr="0020756A">
        <w:rPr>
          <w:i/>
        </w:rPr>
      </w:r>
      <w:r w:rsidRPr="0020756A">
        <w:rPr>
          <w:i/>
        </w:rPr>
        <w:fldChar w:fldCharType="separate"/>
      </w:r>
      <w:r w:rsidRPr="0020756A">
        <w:rPr>
          <w:i/>
        </w:rPr>
        <w:t xml:space="preserve">Observation </w:t>
      </w:r>
      <w:r w:rsidRPr="0020756A">
        <w:rPr>
          <w:i/>
          <w:noProof/>
        </w:rPr>
        <w:t>3</w:t>
      </w:r>
      <w:r w:rsidRPr="0020756A">
        <w:rPr>
          <w:i/>
        </w:rPr>
        <w:t>: 3 AoA RRM Test Cases yield very limited set of ranges for the positioner to avoid blocking effects with the re-positioner concept applied</w:t>
      </w:r>
      <w:r w:rsidRPr="0020756A">
        <w:rPr>
          <w:i/>
        </w:rPr>
        <w:fldChar w:fldCharType="end"/>
      </w:r>
    </w:p>
    <w:p w14:paraId="1187E3E5" w14:textId="77777777" w:rsidR="0020756A" w:rsidRPr="0020756A" w:rsidRDefault="0020756A" w:rsidP="004365F8">
      <w:pPr>
        <w:rPr>
          <w:b/>
        </w:rPr>
      </w:pPr>
      <w:r w:rsidRPr="0020756A">
        <w:rPr>
          <w:b/>
        </w:rPr>
        <w:fldChar w:fldCharType="begin"/>
      </w:r>
      <w:r w:rsidRPr="0020756A">
        <w:rPr>
          <w:b/>
        </w:rPr>
        <w:instrText xml:space="preserve"> REF _Ref200545900 \h </w:instrText>
      </w:r>
      <w:r w:rsidRPr="0020756A">
        <w:rPr>
          <w:b/>
        </w:rPr>
      </w:r>
      <w:r w:rsidRPr="0020756A">
        <w:rPr>
          <w:b/>
        </w:rPr>
        <w:fldChar w:fldCharType="separate"/>
      </w:r>
      <w:r w:rsidRPr="0020756A">
        <w:rPr>
          <w:b/>
        </w:rPr>
        <w:t xml:space="preserve">Proposal </w:t>
      </w:r>
      <w:r w:rsidRPr="0020756A">
        <w:rPr>
          <w:b/>
          <w:noProof/>
        </w:rPr>
        <w:t>1</w:t>
      </w:r>
      <w:r w:rsidRPr="0020756A">
        <w:rPr>
          <w:b/>
        </w:rPr>
        <w:t>: For 3 AoA RRM TCs, the re-positioning concept is not considered the default approach given the very limited positioner ranges, i.e., the reference MU/MTSU for these test cases are defined without the optimized QoQZ MU.</w:t>
      </w:r>
      <w:r w:rsidRPr="0020756A">
        <w:rPr>
          <w:b/>
        </w:rPr>
        <w:fldChar w:fldCharType="end"/>
      </w:r>
    </w:p>
    <w:p w14:paraId="1A10DC61" w14:textId="77777777" w:rsidR="0020756A" w:rsidRPr="0020756A" w:rsidRDefault="0020756A" w:rsidP="004365F8">
      <w:pPr>
        <w:rPr>
          <w:b/>
        </w:rPr>
      </w:pPr>
      <w:r w:rsidRPr="0020756A">
        <w:rPr>
          <w:b/>
        </w:rPr>
        <w:fldChar w:fldCharType="begin"/>
      </w:r>
      <w:r w:rsidRPr="0020756A">
        <w:rPr>
          <w:b/>
        </w:rPr>
        <w:instrText xml:space="preserve"> REF _Ref200546051 \h </w:instrText>
      </w:r>
      <w:r w:rsidRPr="0020756A">
        <w:rPr>
          <w:b/>
        </w:rPr>
      </w:r>
      <w:r w:rsidRPr="0020756A">
        <w:rPr>
          <w:b/>
        </w:rPr>
        <w:fldChar w:fldCharType="separate"/>
      </w:r>
      <w:r w:rsidRPr="0020756A">
        <w:rPr>
          <w:b/>
        </w:rPr>
        <w:t xml:space="preserve">Proposal </w:t>
      </w:r>
      <w:r w:rsidRPr="0020756A">
        <w:rPr>
          <w:b/>
          <w:noProof/>
        </w:rPr>
        <w:t>2</w:t>
      </w:r>
      <w:r w:rsidRPr="0020756A">
        <w:rPr>
          <w:b/>
        </w:rPr>
        <w:t>: Test system vendors to assess their chambers for QoQZ MU without the re-positioning concept applied.</w:t>
      </w:r>
      <w:r w:rsidRPr="0020756A">
        <w:rPr>
          <w:b/>
        </w:rPr>
        <w:fldChar w:fldCharType="end"/>
      </w:r>
    </w:p>
    <w:p w14:paraId="327EAE71" w14:textId="746EAF19" w:rsidR="004365F8" w:rsidRDefault="00E50E5C" w:rsidP="004365F8">
      <w:pPr>
        <w:pStyle w:val="Heading1"/>
      </w:pPr>
      <w:r>
        <w:t>R</w:t>
      </w:r>
      <w:r w:rsidR="004365F8">
        <w:t>eferences</w:t>
      </w:r>
    </w:p>
    <w:p w14:paraId="60622C9D" w14:textId="77777777" w:rsidR="006D4477" w:rsidRDefault="006D4477" w:rsidP="006D4477">
      <w:pPr>
        <w:pStyle w:val="ListParagraph"/>
        <w:numPr>
          <w:ilvl w:val="0"/>
          <w:numId w:val="1"/>
        </w:numPr>
      </w:pPr>
      <w:bookmarkStart w:id="7" w:name="_Ref200539201"/>
      <w:r>
        <w:t>TS 38.521-2, User Equipment (UE) conformance specification; Radio transmission and reception; Part 2: Range 2 Standalone</w:t>
      </w:r>
      <w:bookmarkEnd w:id="7"/>
    </w:p>
    <w:p w14:paraId="034C186B" w14:textId="382D5902" w:rsidR="00562D4B" w:rsidRDefault="006D325C" w:rsidP="006D4477">
      <w:pPr>
        <w:pStyle w:val="ListParagraph"/>
        <w:numPr>
          <w:ilvl w:val="0"/>
          <w:numId w:val="1"/>
        </w:numPr>
      </w:pPr>
      <w:bookmarkStart w:id="8" w:name="_Ref200539013"/>
      <w:r>
        <w:t>R5-240601, On Re-Positioning Concept for FR2 RRM TCs, Keysight Technologies, 3GPP TSG-RAN5 Meeting #102, March 2024</w:t>
      </w:r>
      <w:bookmarkEnd w:id="8"/>
    </w:p>
    <w:p w14:paraId="601F585F" w14:textId="4F28E942" w:rsidR="006D325C" w:rsidRDefault="00E0737D" w:rsidP="006D4477">
      <w:pPr>
        <w:pStyle w:val="ListParagraph"/>
        <w:numPr>
          <w:ilvl w:val="0"/>
          <w:numId w:val="1"/>
        </w:numPr>
      </w:pPr>
      <w:bookmarkStart w:id="9" w:name="_Ref200539037"/>
      <w:r>
        <w:t>R5-241862, Introducing the Re-Positioning Concept for FR2 RRM TCs, Keysight Technologies, Rohde &amp; Schwarz, 3GPP TSG-RAN5 Meeting #102, March 2024</w:t>
      </w:r>
      <w:bookmarkEnd w:id="9"/>
    </w:p>
    <w:p w14:paraId="346995BD" w14:textId="268F7936" w:rsidR="004365F8" w:rsidRDefault="006D4477" w:rsidP="006D4477">
      <w:pPr>
        <w:pStyle w:val="ListParagraph"/>
        <w:numPr>
          <w:ilvl w:val="0"/>
          <w:numId w:val="1"/>
        </w:numPr>
      </w:pPr>
      <w:bookmarkStart w:id="10" w:name="_Ref200539056"/>
      <w:r>
        <w:t>TS 38.533, User Equipment (UE) conformance specification; Radio Resource Management (RRM)</w:t>
      </w:r>
      <w:bookmarkEnd w:id="10"/>
    </w:p>
    <w:p w14:paraId="7C74999C" w14:textId="77777777" w:rsidR="001C2525" w:rsidRDefault="001C2525" w:rsidP="001C2525">
      <w:pPr>
        <w:pStyle w:val="ListParagraph"/>
        <w:numPr>
          <w:ilvl w:val="0"/>
          <w:numId w:val="1"/>
        </w:numPr>
      </w:pPr>
      <w:bookmarkStart w:id="11" w:name="_Ref200539245"/>
      <w:r>
        <w:t>TR 38.903, Derivation of test tolerances and measurement uncertainty for User Equipment (UE) conformance test cases</w:t>
      </w:r>
      <w:bookmarkEnd w:id="11"/>
    </w:p>
    <w:p w14:paraId="316E5066" w14:textId="77777777" w:rsidR="00775FC1" w:rsidRDefault="00775FC1" w:rsidP="00775FC1">
      <w:pPr>
        <w:ind w:left="360"/>
      </w:pPr>
    </w:p>
    <w:sectPr w:rsidR="00775FC1" w:rsidSect="000B7FED">
      <w:headerReference w:type="even" r:id="rId14"/>
      <w:headerReference w:type="default" r:id="rId15"/>
      <w:headerReference w:type="first" r:id="rId1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3DBE5B" w14:textId="77777777" w:rsidR="00F74D81" w:rsidRDefault="00F74D81">
      <w:r>
        <w:separator/>
      </w:r>
    </w:p>
  </w:endnote>
  <w:endnote w:type="continuationSeparator" w:id="0">
    <w:p w14:paraId="06581353" w14:textId="77777777" w:rsidR="00F74D81" w:rsidRDefault="00F74D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968600" w14:textId="77777777" w:rsidR="00F74D81" w:rsidRDefault="00F74D81">
      <w:r>
        <w:separator/>
      </w:r>
    </w:p>
  </w:footnote>
  <w:footnote w:type="continuationSeparator" w:id="0">
    <w:p w14:paraId="4FEF6588" w14:textId="77777777" w:rsidR="00F74D81" w:rsidRDefault="00F74D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6CD51FD"/>
    <w:multiLevelType w:val="hybridMultilevel"/>
    <w:tmpl w:val="1F52E788"/>
    <w:lvl w:ilvl="0" w:tplc="080289F4">
      <w:start w:val="1"/>
      <w:numFmt w:val="decimal"/>
      <w:lvlRestart w:val="0"/>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9386838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0C69"/>
    <w:rsid w:val="00022A24"/>
    <w:rsid w:val="00022E4A"/>
    <w:rsid w:val="00064CBD"/>
    <w:rsid w:val="00070E09"/>
    <w:rsid w:val="00097124"/>
    <w:rsid w:val="000A2BA8"/>
    <w:rsid w:val="000A6394"/>
    <w:rsid w:val="000B7FED"/>
    <w:rsid w:val="000C038A"/>
    <w:rsid w:val="000C16D5"/>
    <w:rsid w:val="000C1C2F"/>
    <w:rsid w:val="000C6598"/>
    <w:rsid w:val="000D44B3"/>
    <w:rsid w:val="00126980"/>
    <w:rsid w:val="0014174C"/>
    <w:rsid w:val="0014413D"/>
    <w:rsid w:val="00145D43"/>
    <w:rsid w:val="001576CE"/>
    <w:rsid w:val="00163EBC"/>
    <w:rsid w:val="00174F3F"/>
    <w:rsid w:val="00185A11"/>
    <w:rsid w:val="00185BF0"/>
    <w:rsid w:val="00192C46"/>
    <w:rsid w:val="00194805"/>
    <w:rsid w:val="001A08B3"/>
    <w:rsid w:val="001A7B60"/>
    <w:rsid w:val="001B52F0"/>
    <w:rsid w:val="001B5F3F"/>
    <w:rsid w:val="001B7A65"/>
    <w:rsid w:val="001B7F14"/>
    <w:rsid w:val="001C2525"/>
    <w:rsid w:val="001C4F09"/>
    <w:rsid w:val="001E41F3"/>
    <w:rsid w:val="00202485"/>
    <w:rsid w:val="0020756A"/>
    <w:rsid w:val="00215409"/>
    <w:rsid w:val="0026004D"/>
    <w:rsid w:val="002640DD"/>
    <w:rsid w:val="00275D12"/>
    <w:rsid w:val="00284FEB"/>
    <w:rsid w:val="002860C4"/>
    <w:rsid w:val="00297F5F"/>
    <w:rsid w:val="002A041D"/>
    <w:rsid w:val="002A7383"/>
    <w:rsid w:val="002B12A9"/>
    <w:rsid w:val="002B5741"/>
    <w:rsid w:val="002C1388"/>
    <w:rsid w:val="002D61A0"/>
    <w:rsid w:val="002E472E"/>
    <w:rsid w:val="002E555E"/>
    <w:rsid w:val="002F4690"/>
    <w:rsid w:val="002F60A0"/>
    <w:rsid w:val="0030206E"/>
    <w:rsid w:val="00305409"/>
    <w:rsid w:val="00320665"/>
    <w:rsid w:val="0034194D"/>
    <w:rsid w:val="003609EF"/>
    <w:rsid w:val="0036231A"/>
    <w:rsid w:val="00364230"/>
    <w:rsid w:val="00367FFA"/>
    <w:rsid w:val="00374DD4"/>
    <w:rsid w:val="003755D5"/>
    <w:rsid w:val="003B6B99"/>
    <w:rsid w:val="003E0700"/>
    <w:rsid w:val="003E1A36"/>
    <w:rsid w:val="003F16DE"/>
    <w:rsid w:val="00410371"/>
    <w:rsid w:val="00411F4D"/>
    <w:rsid w:val="004242F1"/>
    <w:rsid w:val="004365F8"/>
    <w:rsid w:val="004507A2"/>
    <w:rsid w:val="00483E55"/>
    <w:rsid w:val="00493870"/>
    <w:rsid w:val="004B25DA"/>
    <w:rsid w:val="004B6666"/>
    <w:rsid w:val="004B75B7"/>
    <w:rsid w:val="004D2025"/>
    <w:rsid w:val="005141D9"/>
    <w:rsid w:val="0051580D"/>
    <w:rsid w:val="005357AD"/>
    <w:rsid w:val="005365F6"/>
    <w:rsid w:val="00547111"/>
    <w:rsid w:val="00547AED"/>
    <w:rsid w:val="00562D4B"/>
    <w:rsid w:val="00592D74"/>
    <w:rsid w:val="005A637D"/>
    <w:rsid w:val="005C65D0"/>
    <w:rsid w:val="005E225B"/>
    <w:rsid w:val="005E2C44"/>
    <w:rsid w:val="005F2AF4"/>
    <w:rsid w:val="00605804"/>
    <w:rsid w:val="00606816"/>
    <w:rsid w:val="00621188"/>
    <w:rsid w:val="006257ED"/>
    <w:rsid w:val="00632D14"/>
    <w:rsid w:val="00634392"/>
    <w:rsid w:val="00634E2D"/>
    <w:rsid w:val="0064794B"/>
    <w:rsid w:val="00653DE4"/>
    <w:rsid w:val="00665C47"/>
    <w:rsid w:val="00680080"/>
    <w:rsid w:val="00687B06"/>
    <w:rsid w:val="006924E0"/>
    <w:rsid w:val="00695808"/>
    <w:rsid w:val="006B0BD9"/>
    <w:rsid w:val="006B0F5B"/>
    <w:rsid w:val="006B46FB"/>
    <w:rsid w:val="006C1E88"/>
    <w:rsid w:val="006D325C"/>
    <w:rsid w:val="006D4477"/>
    <w:rsid w:val="006E21FB"/>
    <w:rsid w:val="00736302"/>
    <w:rsid w:val="007550B7"/>
    <w:rsid w:val="007574CE"/>
    <w:rsid w:val="00775FC1"/>
    <w:rsid w:val="007865F5"/>
    <w:rsid w:val="00792342"/>
    <w:rsid w:val="007977A8"/>
    <w:rsid w:val="007B512A"/>
    <w:rsid w:val="007C2097"/>
    <w:rsid w:val="007D6A07"/>
    <w:rsid w:val="007D7AA0"/>
    <w:rsid w:val="007F29BE"/>
    <w:rsid w:val="007F41F7"/>
    <w:rsid w:val="007F7259"/>
    <w:rsid w:val="008040A8"/>
    <w:rsid w:val="008246C1"/>
    <w:rsid w:val="008279FA"/>
    <w:rsid w:val="008366EE"/>
    <w:rsid w:val="00855D07"/>
    <w:rsid w:val="00861EE8"/>
    <w:rsid w:val="008626E7"/>
    <w:rsid w:val="00863ACF"/>
    <w:rsid w:val="00865280"/>
    <w:rsid w:val="00870EE7"/>
    <w:rsid w:val="00872CC6"/>
    <w:rsid w:val="008863B9"/>
    <w:rsid w:val="008A45A6"/>
    <w:rsid w:val="008D3CCC"/>
    <w:rsid w:val="008E6D94"/>
    <w:rsid w:val="008F3789"/>
    <w:rsid w:val="008F686C"/>
    <w:rsid w:val="00912F95"/>
    <w:rsid w:val="009148DE"/>
    <w:rsid w:val="00934F3A"/>
    <w:rsid w:val="00941E30"/>
    <w:rsid w:val="009531B0"/>
    <w:rsid w:val="009603B0"/>
    <w:rsid w:val="00962A6F"/>
    <w:rsid w:val="00964230"/>
    <w:rsid w:val="009741B3"/>
    <w:rsid w:val="009777D9"/>
    <w:rsid w:val="00991B88"/>
    <w:rsid w:val="00992538"/>
    <w:rsid w:val="00994015"/>
    <w:rsid w:val="009A5753"/>
    <w:rsid w:val="009A579D"/>
    <w:rsid w:val="009C2C6D"/>
    <w:rsid w:val="009D58C2"/>
    <w:rsid w:val="009D7FC5"/>
    <w:rsid w:val="009E09D9"/>
    <w:rsid w:val="009E3297"/>
    <w:rsid w:val="009E3F4C"/>
    <w:rsid w:val="009F6FD2"/>
    <w:rsid w:val="009F734F"/>
    <w:rsid w:val="009F7BD1"/>
    <w:rsid w:val="00A001A3"/>
    <w:rsid w:val="00A21A57"/>
    <w:rsid w:val="00A246B6"/>
    <w:rsid w:val="00A35DD0"/>
    <w:rsid w:val="00A47E70"/>
    <w:rsid w:val="00A50CF0"/>
    <w:rsid w:val="00A7671C"/>
    <w:rsid w:val="00A776E1"/>
    <w:rsid w:val="00A81D2E"/>
    <w:rsid w:val="00A82CFB"/>
    <w:rsid w:val="00A94E82"/>
    <w:rsid w:val="00AA2CBC"/>
    <w:rsid w:val="00AC5820"/>
    <w:rsid w:val="00AD1CD8"/>
    <w:rsid w:val="00AF3378"/>
    <w:rsid w:val="00AF7482"/>
    <w:rsid w:val="00B11ED7"/>
    <w:rsid w:val="00B258BB"/>
    <w:rsid w:val="00B47F2F"/>
    <w:rsid w:val="00B66ABC"/>
    <w:rsid w:val="00B67B97"/>
    <w:rsid w:val="00B77E84"/>
    <w:rsid w:val="00B968C8"/>
    <w:rsid w:val="00B97830"/>
    <w:rsid w:val="00BA1EDF"/>
    <w:rsid w:val="00BA3EC5"/>
    <w:rsid w:val="00BA3F2A"/>
    <w:rsid w:val="00BA51D9"/>
    <w:rsid w:val="00BB5DFC"/>
    <w:rsid w:val="00BC2859"/>
    <w:rsid w:val="00BC723F"/>
    <w:rsid w:val="00BD279D"/>
    <w:rsid w:val="00BD6BB8"/>
    <w:rsid w:val="00C2427E"/>
    <w:rsid w:val="00C66628"/>
    <w:rsid w:val="00C66BA2"/>
    <w:rsid w:val="00C70176"/>
    <w:rsid w:val="00C70D30"/>
    <w:rsid w:val="00C8501D"/>
    <w:rsid w:val="00C870F6"/>
    <w:rsid w:val="00C907B5"/>
    <w:rsid w:val="00C9526B"/>
    <w:rsid w:val="00C95985"/>
    <w:rsid w:val="00CA668E"/>
    <w:rsid w:val="00CC03C5"/>
    <w:rsid w:val="00CC324D"/>
    <w:rsid w:val="00CC5026"/>
    <w:rsid w:val="00CC68D0"/>
    <w:rsid w:val="00CD20F2"/>
    <w:rsid w:val="00D01035"/>
    <w:rsid w:val="00D03F9A"/>
    <w:rsid w:val="00D06D51"/>
    <w:rsid w:val="00D24991"/>
    <w:rsid w:val="00D41EEB"/>
    <w:rsid w:val="00D50255"/>
    <w:rsid w:val="00D54FDD"/>
    <w:rsid w:val="00D57E11"/>
    <w:rsid w:val="00D66029"/>
    <w:rsid w:val="00D66520"/>
    <w:rsid w:val="00D84AE9"/>
    <w:rsid w:val="00D9124E"/>
    <w:rsid w:val="00DA2E42"/>
    <w:rsid w:val="00DE34CF"/>
    <w:rsid w:val="00DF3915"/>
    <w:rsid w:val="00E0737D"/>
    <w:rsid w:val="00E13F3D"/>
    <w:rsid w:val="00E21BC6"/>
    <w:rsid w:val="00E34898"/>
    <w:rsid w:val="00E50E5C"/>
    <w:rsid w:val="00E60C6C"/>
    <w:rsid w:val="00EB09B7"/>
    <w:rsid w:val="00EB29CA"/>
    <w:rsid w:val="00EB60D8"/>
    <w:rsid w:val="00EE17F1"/>
    <w:rsid w:val="00EE3C48"/>
    <w:rsid w:val="00EE3F94"/>
    <w:rsid w:val="00EE7D7C"/>
    <w:rsid w:val="00F17D3A"/>
    <w:rsid w:val="00F213BA"/>
    <w:rsid w:val="00F25D98"/>
    <w:rsid w:val="00F300FB"/>
    <w:rsid w:val="00F370D2"/>
    <w:rsid w:val="00F40EAE"/>
    <w:rsid w:val="00F67FAE"/>
    <w:rsid w:val="00F74D81"/>
    <w:rsid w:val="00FB34F4"/>
    <w:rsid w:val="00FB6386"/>
    <w:rsid w:val="00FD5E9A"/>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unhideWhenUsed/>
    <w:qFormat/>
    <w:rsid w:val="004365F8"/>
    <w:pPr>
      <w:spacing w:after="200"/>
    </w:pPr>
    <w:rPr>
      <w:b/>
      <w:iCs/>
      <w:szCs w:val="18"/>
    </w:rPr>
  </w:style>
  <w:style w:type="paragraph" w:styleId="ListParagraph">
    <w:name w:val="List Paragraph"/>
    <w:basedOn w:val="Normal"/>
    <w:uiPriority w:val="34"/>
    <w:qFormat/>
    <w:rsid w:val="004365F8"/>
    <w:pPr>
      <w:ind w:left="720"/>
      <w:contextualSpacing/>
    </w:p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uiPriority w:val="35"/>
    <w:rsid w:val="00BA1EDF"/>
    <w:rPr>
      <w:rFonts w:ascii="Times New Roman" w:hAnsi="Times New Roman"/>
      <w:b/>
      <w:iCs/>
      <w:szCs w:val="18"/>
      <w:lang w:val="en-GB" w:eastAsia="en-US"/>
    </w:rPr>
  </w:style>
  <w:style w:type="table" w:styleId="TableGrid">
    <w:name w:val="Table Grid"/>
    <w:basedOn w:val="TableNormal"/>
    <w:qFormat/>
    <w:rsid w:val="00BA1EDF"/>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0537118">
      <w:bodyDiv w:val="1"/>
      <w:marLeft w:val="0"/>
      <w:marRight w:val="0"/>
      <w:marTop w:val="0"/>
      <w:marBottom w:val="0"/>
      <w:divBdr>
        <w:top w:val="none" w:sz="0" w:space="0" w:color="auto"/>
        <w:left w:val="none" w:sz="0" w:space="0" w:color="auto"/>
        <w:bottom w:val="none" w:sz="0" w:space="0" w:color="auto"/>
        <w:right w:val="none" w:sz="0" w:space="0" w:color="auto"/>
      </w:divBdr>
    </w:div>
    <w:div w:id="11615077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theme" Target="theme/theme1.xml"/><Relationship Id="rId3" Type="http://schemas.openxmlformats.org/officeDocument/2006/relationships/customXml" Target="../customXml/item2.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4.xml"/><Relationship Id="rId15" Type="http://schemas.openxmlformats.org/officeDocument/2006/relationships/header" Target="header2.xml"/><Relationship Id="rId10" Type="http://schemas.openxmlformats.org/officeDocument/2006/relationships/footnotes" Target="footnotes.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43" ma:contentTypeDescription="Create a new document." ma:contentTypeScope="" ma:versionID="7e53cd3009dc09467378dd3d67ba8212">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f2b1c8454c7a69910a69c1ba38738fd0"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2.xml><?xml version="1.0" encoding="utf-8"?>
<ds:datastoreItem xmlns:ds="http://schemas.openxmlformats.org/officeDocument/2006/customXml" ds:itemID="{AB9CEE1A-B529-4508-8CCC-021DE80A23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D0DCADB-EAD8-4920-8C32-BF1E45610735}">
  <ds:schemaRefs>
    <ds:schemaRef ds:uri="http://schemas.microsoft.com/sharepoint/v3/contenttype/forms"/>
  </ds:schemaRefs>
</ds:datastoreItem>
</file>

<file path=customXml/itemProps4.xml><?xml version="1.0" encoding="utf-8"?>
<ds:datastoreItem xmlns:ds="http://schemas.openxmlformats.org/officeDocument/2006/customXml" ds:itemID="{AAACA522-0934-467C-A619-2A08B5DAD863}">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docProps/app.xml><?xml version="1.0" encoding="utf-8"?>
<Properties xmlns="http://schemas.openxmlformats.org/officeDocument/2006/extended-properties" xmlns:vt="http://schemas.openxmlformats.org/officeDocument/2006/docPropsVTypes">
  <Template>3gpp_70.dot</Template>
  <TotalTime>42</TotalTime>
  <Pages>4</Pages>
  <Words>1068</Words>
  <Characters>6291</Characters>
  <Application>Microsoft Office Word</Application>
  <DocSecurity>0</DocSecurity>
  <Lines>52</Lines>
  <Paragraphs>14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7345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Thorsten Hertel (KEYS)</cp:lastModifiedBy>
  <cp:revision>35</cp:revision>
  <cp:lastPrinted>1900-01-01T08:00:00Z</cp:lastPrinted>
  <dcterms:created xsi:type="dcterms:W3CDTF">2025-07-16T14:15:00Z</dcterms:created>
  <dcterms:modified xsi:type="dcterms:W3CDTF">2025-08-15T18:31:00Z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0x01010017CD74E91CD4AF408185E1FC416F4AC4</vt:lpwstr>
  </property>
  <property fmtid="{D5CDD505-2E9C-101B-9397-08002B2CF9AE}" pid="22" name="MediaServiceImageTags">
    <vt:lpwstr/>
  </property>
</Properties>
</file>